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B445" w14:textId="1C77CFBB" w:rsidR="00093C99" w:rsidRDefault="00B24711">
      <w:pPr>
        <w:rPr>
          <w:b/>
          <w:bCs/>
        </w:rPr>
      </w:pPr>
      <w:r>
        <w:rPr>
          <w:b/>
          <w:bCs/>
        </w:rPr>
        <w:t>Tehniline kirjeldus</w:t>
      </w:r>
    </w:p>
    <w:p w14:paraId="3B68E72A" w14:textId="5B36FCE4" w:rsidR="00B24711" w:rsidRDefault="00B24711" w:rsidP="00B24711">
      <w:pPr>
        <w:pStyle w:val="Pealkiri1"/>
        <w:numPr>
          <w:ilvl w:val="0"/>
          <w:numId w:val="1"/>
        </w:numPr>
      </w:pPr>
      <w:r>
        <w:t>Hanke objekt</w:t>
      </w:r>
    </w:p>
    <w:p w14:paraId="6790A785" w14:textId="58BA8EF3" w:rsidR="00B24711" w:rsidRDefault="00B24711" w:rsidP="00B24711">
      <w:pPr>
        <w:pStyle w:val="Loendilik"/>
        <w:numPr>
          <w:ilvl w:val="1"/>
          <w:numId w:val="1"/>
        </w:numPr>
        <w:jc w:val="both"/>
      </w:pPr>
      <w:r w:rsidRPr="00B24711">
        <w:t xml:space="preserve">Hanke objektiks on </w:t>
      </w:r>
      <w:r>
        <w:t xml:space="preserve">Tervise ja Heaolu Infosüsteemide Keskusele (edaspidi </w:t>
      </w:r>
      <w:r>
        <w:rPr>
          <w:b/>
          <w:bCs/>
          <w:i/>
          <w:iCs/>
        </w:rPr>
        <w:t>TEHIK</w:t>
      </w:r>
      <w:r>
        <w:t xml:space="preserve"> või </w:t>
      </w:r>
      <w:r>
        <w:rPr>
          <w:b/>
          <w:bCs/>
          <w:i/>
          <w:iCs/>
        </w:rPr>
        <w:t>tellija</w:t>
      </w:r>
      <w:r>
        <w:t>)</w:t>
      </w:r>
      <w:r w:rsidRPr="00B24711">
        <w:t xml:space="preserve"> toidu- ja tööstuskaupade soetamine</w:t>
      </w:r>
      <w:r>
        <w:t xml:space="preserve"> </w:t>
      </w:r>
      <w:r w:rsidRPr="00B24711">
        <w:t xml:space="preserve">raamlepingu alusel, vastavalt </w:t>
      </w:r>
      <w:r>
        <w:t>tellija</w:t>
      </w:r>
      <w:r w:rsidRPr="00B24711">
        <w:t xml:space="preserve"> vajadustele ja mahus koos kauba kohale toimetamisega e-poe tellimuste puhul. Toodete soetamine toimub kas e-poe vahendusel või müügiesinduses/kaupluses kohapeal</w:t>
      </w:r>
      <w:r>
        <w:t>.</w:t>
      </w:r>
    </w:p>
    <w:p w14:paraId="544055EC" w14:textId="47C79C72" w:rsidR="00B24711" w:rsidRDefault="00B24711" w:rsidP="00B24711">
      <w:pPr>
        <w:pStyle w:val="Loendilik"/>
        <w:numPr>
          <w:ilvl w:val="1"/>
          <w:numId w:val="1"/>
        </w:numPr>
        <w:jc w:val="both"/>
      </w:pPr>
      <w:r>
        <w:t xml:space="preserve">TEHIKus </w:t>
      </w:r>
      <w:r w:rsidRPr="00B24711">
        <w:t xml:space="preserve">enim ostetud toidukaupade ostukorvi kaubad ja nende kirjeldused on välja toodud punktis </w:t>
      </w:r>
      <w:r w:rsidR="00E66019">
        <w:t>5</w:t>
      </w:r>
      <w:r>
        <w:t>.</w:t>
      </w:r>
    </w:p>
    <w:p w14:paraId="430D4795" w14:textId="2D94ACE8" w:rsidR="00B24711" w:rsidRDefault="00B24711" w:rsidP="00B24711">
      <w:pPr>
        <w:pStyle w:val="Loendilik"/>
        <w:numPr>
          <w:ilvl w:val="1"/>
          <w:numId w:val="1"/>
        </w:numPr>
        <w:jc w:val="both"/>
      </w:pPr>
      <w:r w:rsidRPr="00B24711">
        <w:t xml:space="preserve">Kauba </w:t>
      </w:r>
      <w:r>
        <w:t>soetamisel</w:t>
      </w:r>
      <w:r w:rsidRPr="00B24711">
        <w:t xml:space="preserve"> võib </w:t>
      </w:r>
      <w:r>
        <w:t>tellija</w:t>
      </w:r>
      <w:r w:rsidRPr="00B24711">
        <w:t xml:space="preserve"> tulenevalt oma reaalsest vajadusest soetada </w:t>
      </w:r>
      <w:r>
        <w:t>täitja</w:t>
      </w:r>
      <w:r w:rsidRPr="00B24711">
        <w:t xml:space="preserve"> sortimendis olevaid toidu- ja tööstuskaupasid, mida ei ole punktis </w:t>
      </w:r>
      <w:r w:rsidR="00E66019">
        <w:t>5</w:t>
      </w:r>
      <w:r w:rsidRPr="00B24711">
        <w:t xml:space="preserve"> loetletud (ostukorvis nimetatud tootegruppide ostukorvivälised tooted) ning lepingut muutmata laiendada</w:t>
      </w:r>
      <w:r>
        <w:t xml:space="preserve"> </w:t>
      </w:r>
      <w:r w:rsidRPr="00B24711">
        <w:t xml:space="preserve">tootegruppe </w:t>
      </w:r>
      <w:r>
        <w:t>täitja</w:t>
      </w:r>
      <w:r w:rsidRPr="00B24711">
        <w:t xml:space="preserve"> valikust (ostukorvis nimetamata tootegrupid), tingimusel, et raamlepingu olemus, s.o jaemüügi korras </w:t>
      </w:r>
      <w:r>
        <w:t>täitja</w:t>
      </w:r>
      <w:r w:rsidRPr="00B24711">
        <w:t xml:space="preserve"> sortimendis olevate toidu- ja tööstuskaupade soodustingimustel ostmine ei muutu. Ostukorvis nimetamata tootegruppide toodetele kehtib pakkumuses esitatud üldine allahindlusprotsent</w:t>
      </w:r>
      <w:r>
        <w:t>.</w:t>
      </w:r>
    </w:p>
    <w:p w14:paraId="1C544199" w14:textId="62ED50BB" w:rsidR="00B24711" w:rsidRDefault="00B24711" w:rsidP="00B24711">
      <w:pPr>
        <w:pStyle w:val="Pealkiri1"/>
        <w:numPr>
          <w:ilvl w:val="0"/>
          <w:numId w:val="1"/>
        </w:numPr>
      </w:pPr>
      <w:r>
        <w:t>Nõuded toodetele</w:t>
      </w:r>
    </w:p>
    <w:p w14:paraId="4BBDCC43" w14:textId="77777777" w:rsidR="00B24711" w:rsidRDefault="00B24711" w:rsidP="00B24711">
      <w:pPr>
        <w:pStyle w:val="Loendilik"/>
        <w:numPr>
          <w:ilvl w:val="1"/>
          <w:numId w:val="1"/>
        </w:numPr>
        <w:jc w:val="both"/>
      </w:pPr>
      <w:r>
        <w:t>Müüdavad kaubad peavad olema kvaliteetsed ning vastama EL-i sätestatud nõudmistele. Toiduainete tarnetsüklis peavad olema täidetud kehtestatud standardid, ettevõtetel peavad olema toiduainete nõutud tervisesertifikaadid (importtoodete puhul) ja kauplusel peavad toidukaupade käitlemiseks kogu lepingu kehtivusajal olema olemas asjakohased load või teavitused Põllumajandus- ja Toiduameti (edaspidi PTA) järelevalve infosüsteemis (https://jvis.agri.ee), kui see on toiduseadusest või muust õigusaktist tulenevalt nõutav.</w:t>
      </w:r>
    </w:p>
    <w:p w14:paraId="4B520AF8" w14:textId="77777777" w:rsidR="00B24711" w:rsidRDefault="00B24711" w:rsidP="00B24711">
      <w:pPr>
        <w:pStyle w:val="Loendilik"/>
        <w:numPr>
          <w:ilvl w:val="1"/>
          <w:numId w:val="1"/>
        </w:numPr>
        <w:jc w:val="both"/>
      </w:pPr>
      <w:r>
        <w:t>Pakendid peavad vastama toiduhügieeni nõuetele ja olema terved.</w:t>
      </w:r>
    </w:p>
    <w:p w14:paraId="453EF58B" w14:textId="07C249B3" w:rsidR="00B24711" w:rsidRDefault="00B24711" w:rsidP="00B24711">
      <w:pPr>
        <w:pStyle w:val="Loendilik"/>
        <w:numPr>
          <w:ilvl w:val="1"/>
          <w:numId w:val="1"/>
        </w:numPr>
        <w:jc w:val="both"/>
      </w:pPr>
      <w:r>
        <w:t>Kauba üleandmise-vastuvõtmise hetkel peab alles olema vähemalt pool tootja poolt konkreetsele kaubale määratud säilivusajast.</w:t>
      </w:r>
    </w:p>
    <w:p w14:paraId="43921B63" w14:textId="19052FD6" w:rsidR="00B24711" w:rsidRDefault="00B24711" w:rsidP="00B24711">
      <w:pPr>
        <w:pStyle w:val="Pealkiri1"/>
        <w:numPr>
          <w:ilvl w:val="0"/>
          <w:numId w:val="1"/>
        </w:numPr>
      </w:pPr>
      <w:r>
        <w:t xml:space="preserve">Nõuded soetusele </w:t>
      </w:r>
    </w:p>
    <w:p w14:paraId="10D5DA4A" w14:textId="453CA60A" w:rsidR="00B24711" w:rsidRDefault="00B24711" w:rsidP="00E66019">
      <w:pPr>
        <w:pStyle w:val="Loendilik"/>
        <w:numPr>
          <w:ilvl w:val="1"/>
          <w:numId w:val="1"/>
        </w:numPr>
        <w:jc w:val="both"/>
      </w:pPr>
      <w:r>
        <w:t>Täitjal peab olema müügiesindus või kauplus, kust tellijal on võimalik arve</w:t>
      </w:r>
      <w:r w:rsidR="00E66019">
        <w:t>- või krediitkaardiga</w:t>
      </w:r>
      <w:r>
        <w:t xml:space="preserve"> os</w:t>
      </w:r>
      <w:r w:rsidR="00E66019">
        <w:t>t</w:t>
      </w:r>
      <w:r>
        <w:t xml:space="preserve">a vähemalt kõiki punktis </w:t>
      </w:r>
      <w:r w:rsidR="00E66019">
        <w:t>5</w:t>
      </w:r>
      <w:r>
        <w:t xml:space="preserve"> loetletud tooteid vähemalt Tallinnas. </w:t>
      </w:r>
    </w:p>
    <w:p w14:paraId="5CB4C165" w14:textId="210C5F52" w:rsidR="00B24711" w:rsidRDefault="00B24711" w:rsidP="00B24711">
      <w:pPr>
        <w:pStyle w:val="Loendilik"/>
        <w:numPr>
          <w:ilvl w:val="1"/>
          <w:numId w:val="1"/>
        </w:numPr>
        <w:jc w:val="both"/>
      </w:pPr>
      <w:r>
        <w:t>Täitjal</w:t>
      </w:r>
      <w:r w:rsidRPr="00B24711">
        <w:t xml:space="preserve"> peab olema lisaks müügiesindus(t)ele või kauplus(t)ele ka eestikeelne e-pood, kust </w:t>
      </w:r>
      <w:r>
        <w:t>tellijal</w:t>
      </w:r>
      <w:r w:rsidRPr="00B24711">
        <w:t xml:space="preserve"> on võimalik tellida vähemalt kõiki punktis </w:t>
      </w:r>
      <w:r w:rsidR="00E66019">
        <w:t>5</w:t>
      </w:r>
      <w:r w:rsidRPr="00B24711">
        <w:t xml:space="preserve"> loetletud tooteid</w:t>
      </w:r>
      <w:r>
        <w:t>.</w:t>
      </w:r>
    </w:p>
    <w:p w14:paraId="2D066B95" w14:textId="3F3C50C2" w:rsidR="00B24711" w:rsidRDefault="00B24711" w:rsidP="00B24711">
      <w:pPr>
        <w:pStyle w:val="Loendilik"/>
        <w:numPr>
          <w:ilvl w:val="1"/>
          <w:numId w:val="1"/>
        </w:numPr>
        <w:jc w:val="both"/>
      </w:pPr>
      <w:r>
        <w:t>Nõuded e-poele:</w:t>
      </w:r>
    </w:p>
    <w:p w14:paraId="0698AEB6" w14:textId="182410F0" w:rsidR="00B24711" w:rsidRDefault="00B24711" w:rsidP="00B24711">
      <w:pPr>
        <w:pStyle w:val="Loendilik"/>
        <w:numPr>
          <w:ilvl w:val="2"/>
          <w:numId w:val="1"/>
        </w:numPr>
        <w:jc w:val="both"/>
      </w:pPr>
      <w:r>
        <w:t>peab olema turvaline (keskkonda pääsevad ainult TEHIKu vastavat juurdepääsu omavad isikud). Täitja peab võtma ostutellimusi vastu üksnes tellija kontaktisiku poolt esitatud volitatud isikutelt;</w:t>
      </w:r>
    </w:p>
    <w:p w14:paraId="2A733B0F" w14:textId="77777777" w:rsidR="00B24711" w:rsidRDefault="00B24711" w:rsidP="00B24711">
      <w:pPr>
        <w:pStyle w:val="Loendilik"/>
        <w:numPr>
          <w:ilvl w:val="2"/>
          <w:numId w:val="1"/>
        </w:numPr>
        <w:jc w:val="both"/>
      </w:pPr>
      <w:r>
        <w:t>peab olema eestikeelne;</w:t>
      </w:r>
    </w:p>
    <w:p w14:paraId="21AD781B" w14:textId="20158D3F" w:rsidR="00B24711" w:rsidRDefault="00B24711" w:rsidP="00B24711">
      <w:pPr>
        <w:pStyle w:val="Loendilik"/>
        <w:numPr>
          <w:ilvl w:val="2"/>
          <w:numId w:val="1"/>
        </w:numPr>
        <w:jc w:val="both"/>
      </w:pPr>
      <w:r>
        <w:t>ülesehitus peab olema kasutajale kergesti arusaadav ja sujuvalt toimiv; Vajadusel korraldab täitja tellija volitatud isikutele oma e-poe kasutajakoolituse;</w:t>
      </w:r>
    </w:p>
    <w:p w14:paraId="16E56C7E" w14:textId="04C13C1B" w:rsidR="00B24711" w:rsidRDefault="00B24711" w:rsidP="00B24711">
      <w:pPr>
        <w:pStyle w:val="Loendilik"/>
        <w:numPr>
          <w:ilvl w:val="2"/>
          <w:numId w:val="1"/>
        </w:numPr>
        <w:jc w:val="both"/>
      </w:pPr>
      <w:r>
        <w:t>võimaldab sooritada tellimusi vähemalt 10-l erineval volitatud isikul. Volitatud isikud, kellel on õigus kaupu osta/tellida, esitatakse täitjale peale lepingu sõlmimist tellija kontaktisiku poolt;</w:t>
      </w:r>
    </w:p>
    <w:p w14:paraId="7A7FD897" w14:textId="144F0F6C" w:rsidR="00B24711" w:rsidRDefault="00B24711" w:rsidP="00B24711">
      <w:pPr>
        <w:pStyle w:val="Loendilik"/>
        <w:numPr>
          <w:ilvl w:val="2"/>
          <w:numId w:val="1"/>
        </w:numPr>
        <w:jc w:val="both"/>
      </w:pPr>
      <w:r>
        <w:t>võimaldab siduda volitatud isikuid kindlate tarneaadressidega;</w:t>
      </w:r>
    </w:p>
    <w:p w14:paraId="15A50940" w14:textId="3E3885B9" w:rsidR="00B24711" w:rsidRDefault="00B24711" w:rsidP="00B24711">
      <w:pPr>
        <w:pStyle w:val="Loendilik"/>
        <w:numPr>
          <w:ilvl w:val="2"/>
          <w:numId w:val="1"/>
        </w:numPr>
        <w:jc w:val="both"/>
      </w:pPr>
      <w:r>
        <w:lastRenderedPageBreak/>
        <w:t>e-poes peab olema kaubakataloog, mis sisaldab toidu- ja tööstuskaupade tooteartiklite kirjeldust, tellimisühikuid, toote hindasid, tooteartiklite pilte;</w:t>
      </w:r>
    </w:p>
    <w:p w14:paraId="7760A168" w14:textId="4CA2C3E1" w:rsidR="00B24711" w:rsidRDefault="00B24711" w:rsidP="00B24711">
      <w:pPr>
        <w:pStyle w:val="Loendilik"/>
        <w:numPr>
          <w:ilvl w:val="2"/>
          <w:numId w:val="1"/>
        </w:numPr>
        <w:jc w:val="both"/>
      </w:pPr>
      <w:r>
        <w:t>hanke ostukorvis olevad tooted peavad olema leitavad eraldi kataloogist ja need peavad olema kuvatud tootehindadega (pakkumuses esitatud pakkuja üld-hinnakirja järgne ühe ühiku hind km-ta jagatud/korrutatud toote kogusega) ja allahindlusprotsentidega;</w:t>
      </w:r>
    </w:p>
    <w:p w14:paraId="511D05B8" w14:textId="3641D3DB" w:rsidR="00B24711" w:rsidRDefault="00B24711" w:rsidP="00B24711">
      <w:pPr>
        <w:pStyle w:val="Loendilik"/>
        <w:numPr>
          <w:ilvl w:val="2"/>
          <w:numId w:val="1"/>
        </w:numPr>
        <w:jc w:val="both"/>
      </w:pPr>
      <w:r>
        <w:t>ostukorvis nimetatud tootegruppide ostukorvivälised tooted peavad olema kuvatud pakkumuses esitatud tootegruppide allahindlusprotsentidega ning ostukorvis nimetamata tootegruppide tooted peavad olema kuvatud pakkumuses esitatud üldise allahindlusprotsendiga;</w:t>
      </w:r>
    </w:p>
    <w:p w14:paraId="61715642" w14:textId="4CFC9A70" w:rsidR="00B24711" w:rsidRDefault="00B24711" w:rsidP="00B24711">
      <w:pPr>
        <w:pStyle w:val="Loendilik"/>
        <w:numPr>
          <w:ilvl w:val="2"/>
          <w:numId w:val="1"/>
        </w:numPr>
        <w:jc w:val="both"/>
      </w:pPr>
      <w:r>
        <w:t>täitja peab saatma tellijale kinnituse (tagasiside) hiljemalt 1 tööpäeva jooksul tellimuse esitamisest, millest alates hakkab kulgema tellimuse täitmise aeg;</w:t>
      </w:r>
    </w:p>
    <w:p w14:paraId="540709D4" w14:textId="2F87E145" w:rsidR="00B24711" w:rsidRDefault="00B24711" w:rsidP="00B24711">
      <w:pPr>
        <w:pStyle w:val="Loendilik"/>
        <w:numPr>
          <w:ilvl w:val="2"/>
          <w:numId w:val="1"/>
        </w:numPr>
        <w:jc w:val="both"/>
      </w:pPr>
      <w:r>
        <w:t>tellija tehtud tellimused peavad olema täitja poolt tarnitud hiljemalt 3 tööpäeva jooksul;</w:t>
      </w:r>
    </w:p>
    <w:p w14:paraId="2D10DA6A" w14:textId="01819F0E" w:rsidR="00B24711" w:rsidRDefault="00B24711" w:rsidP="00B24711">
      <w:pPr>
        <w:pStyle w:val="Loendilik"/>
        <w:numPr>
          <w:ilvl w:val="2"/>
          <w:numId w:val="1"/>
        </w:numPr>
        <w:jc w:val="both"/>
      </w:pPr>
      <w:r>
        <w:t>tellitud kauba üleandmine peab toimuma tellija tööpäevadel ajavahemikus kell 09:00 kuni 16:00;</w:t>
      </w:r>
    </w:p>
    <w:p w14:paraId="7A97EA86" w14:textId="5E19DD5E" w:rsidR="00B24711" w:rsidRDefault="00B24711" w:rsidP="00B24711">
      <w:pPr>
        <w:pStyle w:val="Loendilik"/>
        <w:numPr>
          <w:ilvl w:val="2"/>
          <w:numId w:val="1"/>
        </w:numPr>
        <w:jc w:val="both"/>
      </w:pPr>
      <w:r>
        <w:t>kauba tarne päeval lepib tarne teostaja tellija volitatud isikuga kokku kauba üleandmise aja telefoni teel;</w:t>
      </w:r>
    </w:p>
    <w:p w14:paraId="310D049A" w14:textId="48F2E47A" w:rsidR="00B24711" w:rsidRDefault="00B24711" w:rsidP="00B24711">
      <w:pPr>
        <w:pStyle w:val="Loendilik"/>
        <w:numPr>
          <w:ilvl w:val="2"/>
          <w:numId w:val="1"/>
        </w:numPr>
        <w:jc w:val="both"/>
      </w:pPr>
      <w:r>
        <w:t>täitja on kohustatud pakkima ühe e-poe tellimuse eraldi saadetisena ning markeerima pakendile: tarneaadressi, tellija isiku nime koos kontakttelefoniga;</w:t>
      </w:r>
    </w:p>
    <w:p w14:paraId="5B764D67" w14:textId="0CB78B91" w:rsidR="00B24711" w:rsidRDefault="00B24711" w:rsidP="00B24711">
      <w:pPr>
        <w:pStyle w:val="Loendilik"/>
        <w:numPr>
          <w:ilvl w:val="2"/>
          <w:numId w:val="1"/>
        </w:numPr>
        <w:jc w:val="both"/>
      </w:pPr>
      <w:r>
        <w:t>täitja on kohustatud e-poe tellimuste puhul koos kaubaga üle andma saatelehe, kus on märgitud tellitud kaubad ja nende kogused, tellimuse kuupäev, tellija isiku nimi;</w:t>
      </w:r>
    </w:p>
    <w:p w14:paraId="3E8D1238" w14:textId="3B1BE369" w:rsidR="00B24711" w:rsidRDefault="00B24711" w:rsidP="00B24711">
      <w:pPr>
        <w:pStyle w:val="Loendilik"/>
        <w:numPr>
          <w:ilvl w:val="2"/>
          <w:numId w:val="1"/>
        </w:numPr>
        <w:jc w:val="both"/>
      </w:pPr>
      <w:r>
        <w:t xml:space="preserve">tellija poolt läbi e-poe tehtud tellimused täidab täitja koos kauba tasuta kohale toomisega tellija ettemääratud tarnekohta, mis hankelepingu sõlmimise hetkel on (võivad ajas muutuda või esineda üksikuid kõrvalekaldeid) Pärnu mnt 132, Tallinn. </w:t>
      </w:r>
    </w:p>
    <w:p w14:paraId="2444ADFC" w14:textId="5EB3F962" w:rsidR="00B24711" w:rsidRDefault="00B24711" w:rsidP="00B24711">
      <w:pPr>
        <w:pStyle w:val="Pealkiri1"/>
        <w:numPr>
          <w:ilvl w:val="0"/>
          <w:numId w:val="1"/>
        </w:numPr>
      </w:pPr>
      <w:r>
        <w:t>Muud nõuded</w:t>
      </w:r>
    </w:p>
    <w:p w14:paraId="52350B6A" w14:textId="1A2A4065" w:rsidR="0039310A" w:rsidRDefault="0039310A" w:rsidP="0039310A">
      <w:pPr>
        <w:pStyle w:val="Loendilik"/>
        <w:numPr>
          <w:ilvl w:val="1"/>
          <w:numId w:val="1"/>
        </w:numPr>
        <w:jc w:val="both"/>
      </w:pPr>
      <w:r>
        <w:t>Tellija kontaktisik esitab täitja kontaktisikule kaupade tellimiseks volitatud kontaktisikute nimed, kontaktandmete ning esinduste ja aadressidega hiljemalt 1 tööpäeva jooksul pärast lepingu sõlmimist. Muudatustest eelnimetatud andmetes annab tellija täitjale teada hiljemalt 3 tööpäeva jooksul muudatuse toimumisest arvates.</w:t>
      </w:r>
    </w:p>
    <w:p w14:paraId="5803C191" w14:textId="191BCD4B" w:rsidR="0039310A" w:rsidRDefault="0039310A" w:rsidP="0039310A">
      <w:pPr>
        <w:pStyle w:val="Loendilik"/>
        <w:numPr>
          <w:ilvl w:val="1"/>
          <w:numId w:val="1"/>
        </w:numPr>
        <w:jc w:val="both"/>
      </w:pPr>
      <w:r>
        <w:t>Täitja peab väljastama igale tellija volitatud isikule e-poest tellimiseks kasutajaõigused ning seadma e-poe tehnilises kirjelduses sätestatud tingimustele vastavalt kasutusvalmis hiljemalt 7 kalendripäeva jooksul pärast lepingu sõlmimist.</w:t>
      </w:r>
    </w:p>
    <w:p w14:paraId="2325AC46" w14:textId="52E089D1" w:rsidR="0039310A" w:rsidRDefault="0039310A" w:rsidP="0039310A">
      <w:pPr>
        <w:pStyle w:val="Loendilik"/>
        <w:numPr>
          <w:ilvl w:val="1"/>
          <w:numId w:val="1"/>
        </w:numPr>
        <w:jc w:val="both"/>
      </w:pPr>
      <w:r>
        <w:t>Täitjal peavad toiduainete hoiustamiseks olema vastavad ruumid, seadmed ja logistika, millega ta suudab tõrgeteta täita hanke tellimused.</w:t>
      </w:r>
    </w:p>
    <w:p w14:paraId="774EAFAD" w14:textId="1E752EBB" w:rsidR="0039310A" w:rsidRDefault="0039310A" w:rsidP="0039310A">
      <w:pPr>
        <w:pStyle w:val="Loendilik"/>
        <w:numPr>
          <w:ilvl w:val="1"/>
          <w:numId w:val="1"/>
        </w:numPr>
        <w:jc w:val="both"/>
      </w:pPr>
      <w:r>
        <w:t>Täitja peab alati pakkuma tellijale vähemalt sama soodsat hinda, kui on täitja avalik hinnakirjajärgne hind. Sooduskampaania korral kohaldab täitja ka tellijale vastavaid kampaaniahindasid, kui need on soodsamad täitja pakkumuses fikseeritud hindadest koos tellijale kohaldatava allahindlusprotsendiga.</w:t>
      </w:r>
    </w:p>
    <w:p w14:paraId="397319A4" w14:textId="6B7C16E1" w:rsidR="00B24711" w:rsidRPr="00B24711" w:rsidRDefault="0039310A" w:rsidP="0039310A">
      <w:pPr>
        <w:pStyle w:val="Loendilik"/>
        <w:numPr>
          <w:ilvl w:val="1"/>
          <w:numId w:val="1"/>
        </w:numPr>
        <w:jc w:val="both"/>
      </w:pPr>
      <w:r>
        <w:t xml:space="preserve">Täitjal on õigus lepingu täitmise perioodil muuta või asendada ostukorvi tooteartiklit (nt tooteuuenduse või tootmise lõpetamise korral) ainult siis, kui uus tooteartikkel on oma omadustelt ja kvaliteedilt kas samaväärne või parem kui muudetav/asendatav tooteartikkel. Uue tooteartikli ühikuhind ei või olla kõrgem pakkumuses esitatud tooteartikli ühikuhinnast ning sellele peab kehtima vähemalt </w:t>
      </w:r>
      <w:r>
        <w:lastRenderedPageBreak/>
        <w:t>pakkumuses esitatud allahindlusprotsent. Tooteartikli muutmine/asendamine on lubatud ainult tellija lepingu kontaktisiku eelneval kirjalikul nõusolekul.</w:t>
      </w:r>
    </w:p>
    <w:p w14:paraId="44FCDDC5" w14:textId="49BD929D" w:rsidR="00B24711" w:rsidRDefault="0039310A" w:rsidP="0039310A">
      <w:pPr>
        <w:pStyle w:val="Pealkiri1"/>
        <w:numPr>
          <w:ilvl w:val="0"/>
          <w:numId w:val="1"/>
        </w:numPr>
      </w:pPr>
      <w:r w:rsidRPr="0039310A">
        <w:t>Ostetavate/tellitavate toodete ostukorv ja toodete kirjeldused:</w:t>
      </w:r>
    </w:p>
    <w:p w14:paraId="58BBAEB4" w14:textId="73C2F5D1" w:rsidR="0039310A" w:rsidRPr="0039310A" w:rsidRDefault="0039310A" w:rsidP="0039310A">
      <w:pPr>
        <w:pStyle w:val="Loendilik"/>
        <w:numPr>
          <w:ilvl w:val="1"/>
          <w:numId w:val="1"/>
        </w:numPr>
      </w:pPr>
      <w:r>
        <w:t>Toidukaubad</w:t>
      </w:r>
    </w:p>
    <w:tbl>
      <w:tblPr>
        <w:tblStyle w:val="Kontuurtabel"/>
        <w:tblW w:w="0" w:type="auto"/>
        <w:tblLook w:val="04A0" w:firstRow="1" w:lastRow="0" w:firstColumn="1" w:lastColumn="0" w:noHBand="0" w:noVBand="1"/>
      </w:tblPr>
      <w:tblGrid>
        <w:gridCol w:w="1129"/>
        <w:gridCol w:w="2127"/>
        <w:gridCol w:w="3506"/>
        <w:gridCol w:w="2254"/>
      </w:tblGrid>
      <w:tr w:rsidR="0039310A" w14:paraId="060474F2" w14:textId="77777777" w:rsidTr="0039310A">
        <w:tc>
          <w:tcPr>
            <w:tcW w:w="1129" w:type="dxa"/>
          </w:tcPr>
          <w:p w14:paraId="1470BD3E" w14:textId="0A8AF2CC" w:rsidR="0039310A" w:rsidRPr="0039310A" w:rsidRDefault="0039310A" w:rsidP="0039310A">
            <w:pPr>
              <w:rPr>
                <w:b/>
                <w:bCs/>
              </w:rPr>
            </w:pPr>
            <w:r w:rsidRPr="0039310A">
              <w:rPr>
                <w:b/>
                <w:bCs/>
              </w:rPr>
              <w:t>Jrk nr</w:t>
            </w:r>
            <w:r w:rsidRPr="0039310A">
              <w:rPr>
                <w:b/>
                <w:bCs/>
              </w:rPr>
              <w:tab/>
              <w:t xml:space="preserve"> </w:t>
            </w:r>
          </w:p>
        </w:tc>
        <w:tc>
          <w:tcPr>
            <w:tcW w:w="2127" w:type="dxa"/>
          </w:tcPr>
          <w:p w14:paraId="4418BB14" w14:textId="2E6F5F56" w:rsidR="0039310A" w:rsidRPr="0039310A" w:rsidRDefault="0039310A" w:rsidP="0039310A">
            <w:pPr>
              <w:rPr>
                <w:b/>
                <w:bCs/>
              </w:rPr>
            </w:pPr>
            <w:r w:rsidRPr="0039310A">
              <w:rPr>
                <w:b/>
                <w:bCs/>
              </w:rPr>
              <w:t>Toote nimetus</w:t>
            </w:r>
          </w:p>
        </w:tc>
        <w:tc>
          <w:tcPr>
            <w:tcW w:w="3506" w:type="dxa"/>
          </w:tcPr>
          <w:p w14:paraId="03CDDA04" w14:textId="67AD9581" w:rsidR="0039310A" w:rsidRPr="0039310A" w:rsidRDefault="0039310A" w:rsidP="0039310A">
            <w:pPr>
              <w:rPr>
                <w:b/>
                <w:bCs/>
              </w:rPr>
            </w:pPr>
            <w:r w:rsidRPr="0039310A">
              <w:rPr>
                <w:b/>
                <w:bCs/>
              </w:rPr>
              <w:t>Toote kirjeldus</w:t>
            </w:r>
          </w:p>
        </w:tc>
        <w:tc>
          <w:tcPr>
            <w:tcW w:w="2254" w:type="dxa"/>
          </w:tcPr>
          <w:p w14:paraId="0B318693" w14:textId="24E904B1" w:rsidR="0039310A" w:rsidRPr="0039310A" w:rsidRDefault="0039310A" w:rsidP="0039310A">
            <w:pPr>
              <w:rPr>
                <w:b/>
                <w:bCs/>
              </w:rPr>
            </w:pPr>
            <w:r w:rsidRPr="0039310A">
              <w:rPr>
                <w:b/>
                <w:bCs/>
              </w:rPr>
              <w:t>Tootegrupp</w:t>
            </w:r>
          </w:p>
        </w:tc>
      </w:tr>
      <w:tr w:rsidR="0039310A" w14:paraId="7B41312C" w14:textId="77777777" w:rsidTr="0039310A">
        <w:tc>
          <w:tcPr>
            <w:tcW w:w="1129" w:type="dxa"/>
          </w:tcPr>
          <w:p w14:paraId="74071C96" w14:textId="77777777" w:rsidR="0039310A" w:rsidRDefault="0039310A" w:rsidP="00067D2A">
            <w:pPr>
              <w:pStyle w:val="Loendilik"/>
              <w:numPr>
                <w:ilvl w:val="2"/>
                <w:numId w:val="1"/>
              </w:numPr>
            </w:pPr>
          </w:p>
        </w:tc>
        <w:tc>
          <w:tcPr>
            <w:tcW w:w="2127" w:type="dxa"/>
          </w:tcPr>
          <w:p w14:paraId="4FE09AEE" w14:textId="42B94573" w:rsidR="0039310A" w:rsidRDefault="0039310A" w:rsidP="0039310A">
            <w:r w:rsidRPr="0039310A">
              <w:t>Kakao</w:t>
            </w:r>
          </w:p>
        </w:tc>
        <w:tc>
          <w:tcPr>
            <w:tcW w:w="3506" w:type="dxa"/>
          </w:tcPr>
          <w:p w14:paraId="76A480C9" w14:textId="09E21DD8" w:rsidR="0039310A" w:rsidRDefault="0039310A" w:rsidP="0039310A">
            <w:r w:rsidRPr="0039310A">
              <w:t>Kakao joogipulber õhukindlas pakendis. Pakendi suurus 800g, +/- 200 g, väherasvane (rasva sisaldus kuni 20%).</w:t>
            </w:r>
          </w:p>
        </w:tc>
        <w:tc>
          <w:tcPr>
            <w:tcW w:w="2254" w:type="dxa"/>
            <w:vMerge w:val="restart"/>
            <w:vAlign w:val="center"/>
          </w:tcPr>
          <w:p w14:paraId="1FEDA78B" w14:textId="62028ABC" w:rsidR="0039310A" w:rsidRDefault="0039310A" w:rsidP="0039310A">
            <w:pPr>
              <w:jc w:val="center"/>
            </w:pPr>
            <w:r>
              <w:t>Tee ja kakao</w:t>
            </w:r>
          </w:p>
        </w:tc>
      </w:tr>
      <w:tr w:rsidR="0039310A" w14:paraId="75675C2C" w14:textId="77777777" w:rsidTr="0039310A">
        <w:tc>
          <w:tcPr>
            <w:tcW w:w="1129" w:type="dxa"/>
          </w:tcPr>
          <w:p w14:paraId="0F084F3C" w14:textId="77777777" w:rsidR="0039310A" w:rsidRDefault="0039310A" w:rsidP="00067D2A">
            <w:pPr>
              <w:pStyle w:val="Loendilik"/>
              <w:numPr>
                <w:ilvl w:val="2"/>
                <w:numId w:val="1"/>
              </w:numPr>
            </w:pPr>
          </w:p>
        </w:tc>
        <w:tc>
          <w:tcPr>
            <w:tcW w:w="2127" w:type="dxa"/>
          </w:tcPr>
          <w:p w14:paraId="4CD47A27" w14:textId="0961AC3C" w:rsidR="0039310A" w:rsidRDefault="0039310A" w:rsidP="0039310A">
            <w:r w:rsidRPr="0039310A">
              <w:t>Pakitee</w:t>
            </w:r>
          </w:p>
        </w:tc>
        <w:tc>
          <w:tcPr>
            <w:tcW w:w="3506" w:type="dxa"/>
          </w:tcPr>
          <w:p w14:paraId="0E5EFD57" w14:textId="3C101CC7" w:rsidR="0039310A" w:rsidRDefault="0039310A" w:rsidP="0039310A">
            <w:r w:rsidRPr="0039310A">
              <w:t>Erinevad maitsed tarnitakse vastavalt tellimusele: must, roheline, piparmündi, marja, kibuvits, kummel. Teekotikesed suurusega 1,5-2g/tk on pakendatud fooliumisse või paberisse, mis omakorda on pakendatud karpidesse. Karbis 20-25 teekotikest. Teekotikesed peavad olema nööriga.</w:t>
            </w:r>
          </w:p>
        </w:tc>
        <w:tc>
          <w:tcPr>
            <w:tcW w:w="2254" w:type="dxa"/>
            <w:vMerge/>
          </w:tcPr>
          <w:p w14:paraId="6D29BDE8" w14:textId="77777777" w:rsidR="0039310A" w:rsidRDefault="0039310A" w:rsidP="0039310A"/>
        </w:tc>
      </w:tr>
      <w:tr w:rsidR="0039310A" w14:paraId="17D7115D" w14:textId="77777777" w:rsidTr="0039310A">
        <w:tc>
          <w:tcPr>
            <w:tcW w:w="1129" w:type="dxa"/>
          </w:tcPr>
          <w:p w14:paraId="1947FD98" w14:textId="77777777" w:rsidR="0039310A" w:rsidRDefault="0039310A" w:rsidP="00067D2A">
            <w:pPr>
              <w:pStyle w:val="Loendilik"/>
              <w:numPr>
                <w:ilvl w:val="2"/>
                <w:numId w:val="1"/>
              </w:numPr>
            </w:pPr>
          </w:p>
        </w:tc>
        <w:tc>
          <w:tcPr>
            <w:tcW w:w="2127" w:type="dxa"/>
          </w:tcPr>
          <w:p w14:paraId="79D88290" w14:textId="5354BF4E" w:rsidR="0039310A" w:rsidRPr="0039310A" w:rsidRDefault="0039310A" w:rsidP="0039310A">
            <w:r w:rsidRPr="0039310A">
              <w:t>Karboniseeritud vesi</w:t>
            </w:r>
          </w:p>
        </w:tc>
        <w:tc>
          <w:tcPr>
            <w:tcW w:w="3506" w:type="dxa"/>
            <w:shd w:val="clear" w:color="auto" w:fill="auto"/>
          </w:tcPr>
          <w:p w14:paraId="0215C00F" w14:textId="753BEA66" w:rsidR="0039310A" w:rsidRPr="0039310A" w:rsidRDefault="0039310A" w:rsidP="0039310A">
            <w:r w:rsidRPr="0039310A">
              <w:t>0,33L, +/- 0,17L, maitsestamata, klaastaaras</w:t>
            </w:r>
          </w:p>
        </w:tc>
        <w:tc>
          <w:tcPr>
            <w:tcW w:w="2254" w:type="dxa"/>
            <w:vMerge w:val="restart"/>
            <w:vAlign w:val="center"/>
          </w:tcPr>
          <w:p w14:paraId="1775A8BD" w14:textId="6BB995C2" w:rsidR="0039310A" w:rsidRDefault="0039310A" w:rsidP="0039310A">
            <w:pPr>
              <w:jc w:val="center"/>
            </w:pPr>
            <w:r>
              <w:t>Mineraalvesi</w:t>
            </w:r>
          </w:p>
        </w:tc>
      </w:tr>
      <w:tr w:rsidR="0039310A" w14:paraId="78AF42AA" w14:textId="77777777" w:rsidTr="00231448">
        <w:tc>
          <w:tcPr>
            <w:tcW w:w="1129" w:type="dxa"/>
          </w:tcPr>
          <w:p w14:paraId="30C1D7D4" w14:textId="77777777" w:rsidR="0039310A" w:rsidRDefault="0039310A" w:rsidP="00067D2A">
            <w:pPr>
              <w:pStyle w:val="Loendilik"/>
              <w:numPr>
                <w:ilvl w:val="2"/>
                <w:numId w:val="1"/>
              </w:numPr>
            </w:pPr>
          </w:p>
        </w:tc>
        <w:tc>
          <w:tcPr>
            <w:tcW w:w="2127" w:type="dxa"/>
          </w:tcPr>
          <w:p w14:paraId="1781BEF4" w14:textId="169C4DCF" w:rsidR="0039310A" w:rsidRPr="0039310A" w:rsidRDefault="0039310A" w:rsidP="0039310A">
            <w:r w:rsidRPr="0039310A">
              <w:t>Karboniseerimata vesi</w:t>
            </w:r>
          </w:p>
        </w:tc>
        <w:tc>
          <w:tcPr>
            <w:tcW w:w="3506" w:type="dxa"/>
            <w:shd w:val="clear" w:color="auto" w:fill="auto"/>
          </w:tcPr>
          <w:p w14:paraId="67874F6F" w14:textId="0561B055" w:rsidR="0039310A" w:rsidRPr="0039310A" w:rsidRDefault="0039310A" w:rsidP="0039310A">
            <w:r w:rsidRPr="0039310A">
              <w:t>0,33L, +/- 0,17L, maitsestamata, klaastaaras</w:t>
            </w:r>
          </w:p>
        </w:tc>
        <w:tc>
          <w:tcPr>
            <w:tcW w:w="2254" w:type="dxa"/>
            <w:vMerge/>
          </w:tcPr>
          <w:p w14:paraId="4CFF4963" w14:textId="77777777" w:rsidR="0039310A" w:rsidRDefault="0039310A" w:rsidP="0039310A"/>
        </w:tc>
      </w:tr>
      <w:tr w:rsidR="00BD0B14" w14:paraId="37D43380" w14:textId="77777777" w:rsidTr="0039310A">
        <w:tc>
          <w:tcPr>
            <w:tcW w:w="1129" w:type="dxa"/>
          </w:tcPr>
          <w:p w14:paraId="769D5C94" w14:textId="77777777" w:rsidR="00BD0B14" w:rsidRDefault="00BD0B14" w:rsidP="00067D2A">
            <w:pPr>
              <w:pStyle w:val="Loendilik"/>
              <w:numPr>
                <w:ilvl w:val="2"/>
                <w:numId w:val="1"/>
              </w:numPr>
            </w:pPr>
          </w:p>
        </w:tc>
        <w:tc>
          <w:tcPr>
            <w:tcW w:w="2127" w:type="dxa"/>
          </w:tcPr>
          <w:p w14:paraId="0DF59E78" w14:textId="0368B2FD" w:rsidR="00BD0B14" w:rsidRPr="0039310A" w:rsidRDefault="00BD0B14" w:rsidP="0039310A">
            <w:r w:rsidRPr="0039310A">
              <w:t xml:space="preserve">Piim </w:t>
            </w:r>
          </w:p>
        </w:tc>
        <w:tc>
          <w:tcPr>
            <w:tcW w:w="3506" w:type="dxa"/>
          </w:tcPr>
          <w:p w14:paraId="22CD0915" w14:textId="136D12BA" w:rsidR="00BD0B14" w:rsidRPr="0039310A" w:rsidRDefault="00BD0B14" w:rsidP="0039310A">
            <w:r>
              <w:t>1L pakis, 2,5%, tetrapakk</w:t>
            </w:r>
          </w:p>
        </w:tc>
        <w:tc>
          <w:tcPr>
            <w:tcW w:w="2254" w:type="dxa"/>
            <w:vMerge w:val="restart"/>
            <w:vAlign w:val="center"/>
          </w:tcPr>
          <w:p w14:paraId="2EE239E8" w14:textId="1FFAFF6B" w:rsidR="00BD0B14" w:rsidRDefault="00BD0B14" w:rsidP="0039310A">
            <w:pPr>
              <w:jc w:val="center"/>
            </w:pPr>
            <w:r>
              <w:t>Piimatooted</w:t>
            </w:r>
          </w:p>
        </w:tc>
      </w:tr>
      <w:tr w:rsidR="00BD0B14" w14:paraId="7F77622F" w14:textId="77777777" w:rsidTr="0039310A">
        <w:tc>
          <w:tcPr>
            <w:tcW w:w="1129" w:type="dxa"/>
          </w:tcPr>
          <w:p w14:paraId="62C89482" w14:textId="77777777" w:rsidR="00BD0B14" w:rsidRDefault="00BD0B14" w:rsidP="00067D2A">
            <w:pPr>
              <w:pStyle w:val="Loendilik"/>
              <w:numPr>
                <w:ilvl w:val="2"/>
                <w:numId w:val="1"/>
              </w:numPr>
            </w:pPr>
          </w:p>
        </w:tc>
        <w:tc>
          <w:tcPr>
            <w:tcW w:w="2127" w:type="dxa"/>
          </w:tcPr>
          <w:p w14:paraId="43F6255B" w14:textId="553DE469" w:rsidR="00BD0B14" w:rsidRPr="0039310A" w:rsidRDefault="00BD0B14" w:rsidP="0039310A">
            <w:r>
              <w:t>Kaerapiim</w:t>
            </w:r>
            <w:r w:rsidRPr="0039310A">
              <w:t xml:space="preserve"> </w:t>
            </w:r>
          </w:p>
        </w:tc>
        <w:tc>
          <w:tcPr>
            <w:tcW w:w="3506" w:type="dxa"/>
          </w:tcPr>
          <w:p w14:paraId="5503DDA3" w14:textId="7A877042" w:rsidR="00BD0B14" w:rsidRPr="0039310A" w:rsidRDefault="00BD0B14" w:rsidP="0039310A">
            <w:r>
              <w:t>1L pakis, tetrapakk</w:t>
            </w:r>
          </w:p>
        </w:tc>
        <w:tc>
          <w:tcPr>
            <w:tcW w:w="2254" w:type="dxa"/>
            <w:vMerge/>
          </w:tcPr>
          <w:p w14:paraId="105A9E4B" w14:textId="77777777" w:rsidR="00BD0B14" w:rsidRDefault="00BD0B14" w:rsidP="0039310A"/>
        </w:tc>
      </w:tr>
      <w:tr w:rsidR="00BD0B14" w14:paraId="5CD2225E" w14:textId="77777777" w:rsidTr="0039310A">
        <w:tc>
          <w:tcPr>
            <w:tcW w:w="1129" w:type="dxa"/>
          </w:tcPr>
          <w:p w14:paraId="0B46757B" w14:textId="77777777" w:rsidR="00BD0B14" w:rsidRDefault="00BD0B14" w:rsidP="00067D2A">
            <w:pPr>
              <w:pStyle w:val="Loendilik"/>
              <w:numPr>
                <w:ilvl w:val="2"/>
                <w:numId w:val="1"/>
              </w:numPr>
            </w:pPr>
          </w:p>
        </w:tc>
        <w:tc>
          <w:tcPr>
            <w:tcW w:w="2127" w:type="dxa"/>
          </w:tcPr>
          <w:p w14:paraId="29159CDE" w14:textId="38318400" w:rsidR="00BD0B14" w:rsidRPr="0039310A" w:rsidRDefault="00BD0B14" w:rsidP="0039310A">
            <w:r w:rsidRPr="0039310A">
              <w:t>Kohvikoor</w:t>
            </w:r>
          </w:p>
        </w:tc>
        <w:tc>
          <w:tcPr>
            <w:tcW w:w="3506" w:type="dxa"/>
          </w:tcPr>
          <w:p w14:paraId="3D2FB86E" w14:textId="5EA1B616" w:rsidR="00BD0B14" w:rsidRPr="0039310A" w:rsidRDefault="00BD0B14" w:rsidP="0039310A">
            <w:r w:rsidRPr="0039310A">
              <w:t>10%, 10gx10tk, +/- 2tk pakis, plastikust pakend.</w:t>
            </w:r>
          </w:p>
        </w:tc>
        <w:tc>
          <w:tcPr>
            <w:tcW w:w="2254" w:type="dxa"/>
            <w:vMerge/>
          </w:tcPr>
          <w:p w14:paraId="6AC32E3F" w14:textId="77777777" w:rsidR="00BD0B14" w:rsidRDefault="00BD0B14" w:rsidP="0039310A"/>
        </w:tc>
      </w:tr>
      <w:tr w:rsidR="00910E9E" w14:paraId="1316C0F5" w14:textId="77777777" w:rsidTr="0039310A">
        <w:tc>
          <w:tcPr>
            <w:tcW w:w="1129" w:type="dxa"/>
            <w:vMerge w:val="restart"/>
          </w:tcPr>
          <w:p w14:paraId="38169231" w14:textId="77777777" w:rsidR="00910E9E" w:rsidRDefault="00910E9E" w:rsidP="00067D2A">
            <w:pPr>
              <w:pStyle w:val="Loendilik"/>
              <w:numPr>
                <w:ilvl w:val="2"/>
                <w:numId w:val="1"/>
              </w:numPr>
            </w:pPr>
          </w:p>
        </w:tc>
        <w:tc>
          <w:tcPr>
            <w:tcW w:w="2127" w:type="dxa"/>
          </w:tcPr>
          <w:p w14:paraId="54F33FC3" w14:textId="41E51DD6" w:rsidR="00910E9E" w:rsidRPr="0039310A" w:rsidRDefault="00910E9E" w:rsidP="0039310A">
            <w:r w:rsidRPr="0039310A">
              <w:t>Tükisuhkur pruun</w:t>
            </w:r>
          </w:p>
        </w:tc>
        <w:tc>
          <w:tcPr>
            <w:tcW w:w="3506" w:type="dxa"/>
          </w:tcPr>
          <w:p w14:paraId="12E1ED24" w14:textId="0DB65F74" w:rsidR="00910E9E" w:rsidRPr="0039310A" w:rsidRDefault="00910E9E" w:rsidP="0039310A">
            <w:r w:rsidRPr="0039310A">
              <w:t>500g, +/- 250g pakis.</w:t>
            </w:r>
          </w:p>
        </w:tc>
        <w:tc>
          <w:tcPr>
            <w:tcW w:w="2254" w:type="dxa"/>
            <w:vMerge w:val="restart"/>
            <w:vAlign w:val="center"/>
          </w:tcPr>
          <w:p w14:paraId="005334A1" w14:textId="5ADCB21A" w:rsidR="00910E9E" w:rsidRDefault="00910E9E" w:rsidP="0039310A">
            <w:pPr>
              <w:jc w:val="center"/>
            </w:pPr>
            <w:r>
              <w:t>Suhkur</w:t>
            </w:r>
          </w:p>
        </w:tc>
      </w:tr>
      <w:tr w:rsidR="00910E9E" w14:paraId="241B7F3F" w14:textId="77777777" w:rsidTr="0039310A">
        <w:tc>
          <w:tcPr>
            <w:tcW w:w="1129" w:type="dxa"/>
            <w:vMerge/>
          </w:tcPr>
          <w:p w14:paraId="5D49B2CC" w14:textId="77777777" w:rsidR="00910E9E" w:rsidRDefault="00910E9E" w:rsidP="00067D2A">
            <w:pPr>
              <w:pStyle w:val="Loendilik"/>
              <w:numPr>
                <w:ilvl w:val="2"/>
                <w:numId w:val="1"/>
              </w:numPr>
            </w:pPr>
          </w:p>
        </w:tc>
        <w:tc>
          <w:tcPr>
            <w:tcW w:w="2127" w:type="dxa"/>
          </w:tcPr>
          <w:p w14:paraId="6F5D26F4" w14:textId="2878AE46" w:rsidR="00910E9E" w:rsidRPr="0039310A" w:rsidRDefault="00910E9E" w:rsidP="0039310A">
            <w:r w:rsidRPr="0039310A">
              <w:t>Pruun roosuhkur</w:t>
            </w:r>
          </w:p>
        </w:tc>
        <w:tc>
          <w:tcPr>
            <w:tcW w:w="3506" w:type="dxa"/>
          </w:tcPr>
          <w:p w14:paraId="63AC5F97" w14:textId="38C271B2" w:rsidR="00910E9E" w:rsidRPr="0039310A" w:rsidRDefault="00910E9E" w:rsidP="0039310A">
            <w:r w:rsidRPr="0039310A">
              <w:t>750g, +/- 250g pakis.</w:t>
            </w:r>
          </w:p>
        </w:tc>
        <w:tc>
          <w:tcPr>
            <w:tcW w:w="2254" w:type="dxa"/>
            <w:vMerge/>
          </w:tcPr>
          <w:p w14:paraId="66DC14EC" w14:textId="77777777" w:rsidR="00910E9E" w:rsidRDefault="00910E9E" w:rsidP="0039310A"/>
        </w:tc>
      </w:tr>
      <w:tr w:rsidR="0039310A" w14:paraId="39DE26C5" w14:textId="77777777" w:rsidTr="0039310A">
        <w:tc>
          <w:tcPr>
            <w:tcW w:w="1129" w:type="dxa"/>
          </w:tcPr>
          <w:p w14:paraId="260A1E83" w14:textId="77777777" w:rsidR="0039310A" w:rsidRDefault="0039310A" w:rsidP="00067D2A">
            <w:pPr>
              <w:pStyle w:val="Loendilik"/>
              <w:numPr>
                <w:ilvl w:val="2"/>
                <w:numId w:val="1"/>
              </w:numPr>
            </w:pPr>
          </w:p>
        </w:tc>
        <w:tc>
          <w:tcPr>
            <w:tcW w:w="2127" w:type="dxa"/>
          </w:tcPr>
          <w:p w14:paraId="6D41513E" w14:textId="16909155" w:rsidR="0039310A" w:rsidRPr="0039310A" w:rsidRDefault="0039310A" w:rsidP="0039310A">
            <w:r w:rsidRPr="0039310A">
              <w:t>Suhkur</w:t>
            </w:r>
          </w:p>
        </w:tc>
        <w:tc>
          <w:tcPr>
            <w:tcW w:w="3506" w:type="dxa"/>
          </w:tcPr>
          <w:p w14:paraId="7DD6A690" w14:textId="43243149" w:rsidR="0039310A" w:rsidRPr="0039310A" w:rsidRDefault="0039310A" w:rsidP="0039310A">
            <w:r w:rsidRPr="0039310A">
              <w:t>1000g pakis.</w:t>
            </w:r>
          </w:p>
        </w:tc>
        <w:tc>
          <w:tcPr>
            <w:tcW w:w="2254" w:type="dxa"/>
            <w:vMerge/>
          </w:tcPr>
          <w:p w14:paraId="2EC0EA02" w14:textId="77777777" w:rsidR="0039310A" w:rsidRDefault="0039310A" w:rsidP="0039310A"/>
        </w:tc>
      </w:tr>
      <w:tr w:rsidR="0039310A" w14:paraId="2659BA3B" w14:textId="77777777" w:rsidTr="0039310A">
        <w:tc>
          <w:tcPr>
            <w:tcW w:w="1129" w:type="dxa"/>
          </w:tcPr>
          <w:p w14:paraId="1103A746" w14:textId="77777777" w:rsidR="0039310A" w:rsidRDefault="0039310A" w:rsidP="00067D2A">
            <w:pPr>
              <w:pStyle w:val="Loendilik"/>
              <w:numPr>
                <w:ilvl w:val="2"/>
                <w:numId w:val="1"/>
              </w:numPr>
            </w:pPr>
          </w:p>
        </w:tc>
        <w:tc>
          <w:tcPr>
            <w:tcW w:w="2127" w:type="dxa"/>
          </w:tcPr>
          <w:p w14:paraId="5434EEC9" w14:textId="177BCF50" w:rsidR="0039310A" w:rsidRPr="0039310A" w:rsidRDefault="0039310A" w:rsidP="0039310A">
            <w:r w:rsidRPr="0039310A">
              <w:t>Kompvekid</w:t>
            </w:r>
          </w:p>
        </w:tc>
        <w:tc>
          <w:tcPr>
            <w:tcW w:w="3506" w:type="dxa"/>
          </w:tcPr>
          <w:p w14:paraId="0DB9845E" w14:textId="03CCF9A5" w:rsidR="0039310A" w:rsidRPr="0039310A" w:rsidRDefault="0039310A" w:rsidP="0039310A">
            <w:r w:rsidRPr="0039310A">
              <w:t>Pralinee kaetud šokolaadiga, tootevalikus 3 erinevat maitset, 175g, +/-25g pakendis, toodetud Eestis.</w:t>
            </w:r>
          </w:p>
        </w:tc>
        <w:tc>
          <w:tcPr>
            <w:tcW w:w="2254" w:type="dxa"/>
            <w:vMerge w:val="restart"/>
            <w:vAlign w:val="center"/>
          </w:tcPr>
          <w:p w14:paraId="2117BA7B" w14:textId="774D8BA3" w:rsidR="0039310A" w:rsidRDefault="0039310A" w:rsidP="0039310A">
            <w:pPr>
              <w:jc w:val="center"/>
            </w:pPr>
            <w:r>
              <w:t>Kompvekid ja küpsised</w:t>
            </w:r>
          </w:p>
        </w:tc>
      </w:tr>
      <w:tr w:rsidR="0039310A" w14:paraId="00F25735" w14:textId="77777777" w:rsidTr="0039310A">
        <w:tc>
          <w:tcPr>
            <w:tcW w:w="1129" w:type="dxa"/>
          </w:tcPr>
          <w:p w14:paraId="03EF0663" w14:textId="77777777" w:rsidR="0039310A" w:rsidRDefault="0039310A" w:rsidP="00067D2A">
            <w:pPr>
              <w:pStyle w:val="Loendilik"/>
              <w:numPr>
                <w:ilvl w:val="2"/>
                <w:numId w:val="1"/>
              </w:numPr>
            </w:pPr>
          </w:p>
        </w:tc>
        <w:tc>
          <w:tcPr>
            <w:tcW w:w="2127" w:type="dxa"/>
          </w:tcPr>
          <w:p w14:paraId="03D4BCC4" w14:textId="6991F0A7" w:rsidR="0039310A" w:rsidRPr="0039310A" w:rsidRDefault="0039310A" w:rsidP="0039310A">
            <w:r w:rsidRPr="0039310A">
              <w:t>Küpsised</w:t>
            </w:r>
          </w:p>
        </w:tc>
        <w:tc>
          <w:tcPr>
            <w:tcW w:w="3506" w:type="dxa"/>
          </w:tcPr>
          <w:p w14:paraId="135A528B" w14:textId="1ECA1BF9" w:rsidR="0039310A" w:rsidRPr="0039310A" w:rsidRDefault="0039310A" w:rsidP="0039310A">
            <w:r w:rsidRPr="0039310A">
              <w:t>Magusad, täidiseta, 250g, +/- 50g pakendis, toodetud Eestis.</w:t>
            </w:r>
          </w:p>
        </w:tc>
        <w:tc>
          <w:tcPr>
            <w:tcW w:w="2254" w:type="dxa"/>
            <w:vMerge/>
          </w:tcPr>
          <w:p w14:paraId="0B1D5FD6" w14:textId="77777777" w:rsidR="0039310A" w:rsidRDefault="0039310A" w:rsidP="0039310A"/>
        </w:tc>
      </w:tr>
      <w:tr w:rsidR="0039310A" w14:paraId="48493F52" w14:textId="77777777" w:rsidTr="0039310A">
        <w:tc>
          <w:tcPr>
            <w:tcW w:w="1129" w:type="dxa"/>
          </w:tcPr>
          <w:p w14:paraId="4D485330" w14:textId="77777777" w:rsidR="0039310A" w:rsidRDefault="0039310A" w:rsidP="00067D2A">
            <w:pPr>
              <w:pStyle w:val="Loendilik"/>
              <w:numPr>
                <w:ilvl w:val="2"/>
                <w:numId w:val="1"/>
              </w:numPr>
            </w:pPr>
          </w:p>
        </w:tc>
        <w:tc>
          <w:tcPr>
            <w:tcW w:w="2127" w:type="dxa"/>
          </w:tcPr>
          <w:p w14:paraId="6AAC441B" w14:textId="4A9FE91C" w:rsidR="0039310A" w:rsidRPr="0039310A" w:rsidRDefault="0039310A" w:rsidP="0039310A">
            <w:r w:rsidRPr="0039310A">
              <w:t>Küpsised</w:t>
            </w:r>
          </w:p>
        </w:tc>
        <w:tc>
          <w:tcPr>
            <w:tcW w:w="3506" w:type="dxa"/>
          </w:tcPr>
          <w:p w14:paraId="6DBDC0AF" w14:textId="73BEC636" w:rsidR="0039310A" w:rsidRPr="0039310A" w:rsidRDefault="0039310A" w:rsidP="0039310A">
            <w:r w:rsidRPr="0039310A">
              <w:t>Magusad, täidisega, tootevalikus 3 erinevat maitset, 130g, +/-50g pakendis, toodetud Eestis.</w:t>
            </w:r>
          </w:p>
        </w:tc>
        <w:tc>
          <w:tcPr>
            <w:tcW w:w="2254" w:type="dxa"/>
            <w:vMerge/>
          </w:tcPr>
          <w:p w14:paraId="2395E39A" w14:textId="77777777" w:rsidR="0039310A" w:rsidRDefault="0039310A" w:rsidP="0039310A"/>
        </w:tc>
      </w:tr>
      <w:tr w:rsidR="0039310A" w14:paraId="56DFA69F" w14:textId="77777777" w:rsidTr="0039310A">
        <w:tc>
          <w:tcPr>
            <w:tcW w:w="1129" w:type="dxa"/>
          </w:tcPr>
          <w:p w14:paraId="14D17AD4" w14:textId="77777777" w:rsidR="0039310A" w:rsidRDefault="0039310A" w:rsidP="00067D2A">
            <w:pPr>
              <w:pStyle w:val="Loendilik"/>
              <w:numPr>
                <w:ilvl w:val="2"/>
                <w:numId w:val="1"/>
              </w:numPr>
            </w:pPr>
          </w:p>
        </w:tc>
        <w:tc>
          <w:tcPr>
            <w:tcW w:w="2127" w:type="dxa"/>
          </w:tcPr>
          <w:p w14:paraId="4361E491" w14:textId="78C70D29" w:rsidR="0039310A" w:rsidRPr="0039310A" w:rsidRDefault="0039310A" w:rsidP="0039310A">
            <w:r w:rsidRPr="0039310A">
              <w:t>Küpsised</w:t>
            </w:r>
          </w:p>
        </w:tc>
        <w:tc>
          <w:tcPr>
            <w:tcW w:w="3506" w:type="dxa"/>
          </w:tcPr>
          <w:p w14:paraId="1D8A6871" w14:textId="0750CE5E" w:rsidR="0039310A" w:rsidRPr="0039310A" w:rsidRDefault="0039310A" w:rsidP="0039310A">
            <w:r w:rsidRPr="0039310A">
              <w:t>Soolased, 250g, +/-50g pakendis, toodetud Eestis.</w:t>
            </w:r>
          </w:p>
        </w:tc>
        <w:tc>
          <w:tcPr>
            <w:tcW w:w="2254" w:type="dxa"/>
            <w:vMerge/>
          </w:tcPr>
          <w:p w14:paraId="61D581C1" w14:textId="77777777" w:rsidR="0039310A" w:rsidRDefault="0039310A" w:rsidP="0039310A"/>
        </w:tc>
      </w:tr>
    </w:tbl>
    <w:p w14:paraId="212BA1D3" w14:textId="7708E1A8" w:rsidR="00910E9E" w:rsidRPr="00067D2A" w:rsidRDefault="00910E9E" w:rsidP="00BD0B14"/>
    <w:sectPr w:rsidR="00910E9E" w:rsidRPr="00067D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6C1A" w14:textId="77777777" w:rsidR="001F4F23" w:rsidRDefault="001F4F23" w:rsidP="0039310A">
      <w:pPr>
        <w:spacing w:after="0" w:line="240" w:lineRule="auto"/>
      </w:pPr>
      <w:r>
        <w:separator/>
      </w:r>
    </w:p>
  </w:endnote>
  <w:endnote w:type="continuationSeparator" w:id="0">
    <w:p w14:paraId="27A5FEA5" w14:textId="77777777" w:rsidR="001F4F23" w:rsidRDefault="001F4F23" w:rsidP="0039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3E10" w14:textId="77777777" w:rsidR="001F4F23" w:rsidRDefault="001F4F23" w:rsidP="0039310A">
      <w:pPr>
        <w:spacing w:after="0" w:line="240" w:lineRule="auto"/>
      </w:pPr>
      <w:r>
        <w:separator/>
      </w:r>
    </w:p>
  </w:footnote>
  <w:footnote w:type="continuationSeparator" w:id="0">
    <w:p w14:paraId="6A2828F7" w14:textId="77777777" w:rsidR="001F4F23" w:rsidRDefault="001F4F23" w:rsidP="00393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20BD6"/>
    <w:multiLevelType w:val="multilevel"/>
    <w:tmpl w:val="0425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 w15:restartNumberingAfterBreak="0">
    <w:nsid w:val="427839D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F53CD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2E367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11"/>
    <w:rsid w:val="00067D2A"/>
    <w:rsid w:val="00093C99"/>
    <w:rsid w:val="000D3E95"/>
    <w:rsid w:val="001F4F23"/>
    <w:rsid w:val="00221132"/>
    <w:rsid w:val="00247243"/>
    <w:rsid w:val="002849D0"/>
    <w:rsid w:val="0039310A"/>
    <w:rsid w:val="00492676"/>
    <w:rsid w:val="004A78E0"/>
    <w:rsid w:val="00896BD2"/>
    <w:rsid w:val="00910E9E"/>
    <w:rsid w:val="00B24711"/>
    <w:rsid w:val="00BD0B14"/>
    <w:rsid w:val="00C178EE"/>
    <w:rsid w:val="00E660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687E"/>
  <w15:chartTrackingRefBased/>
  <w15:docId w15:val="{2BEE2B84-5F9D-4F48-B514-DE77BEF7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8EE"/>
    <w:pPr>
      <w:spacing w:after="120"/>
    </w:pPr>
    <w:rPr>
      <w:rFonts w:ascii="Raleway" w:hAnsi="Raleway"/>
    </w:rPr>
  </w:style>
  <w:style w:type="paragraph" w:styleId="Pealkiri1">
    <w:name w:val="heading 1"/>
    <w:basedOn w:val="Normaallaad"/>
    <w:next w:val="Normaallaad"/>
    <w:link w:val="Pealkiri1Mrk"/>
    <w:uiPriority w:val="9"/>
    <w:qFormat/>
    <w:rsid w:val="00C178EE"/>
    <w:pPr>
      <w:keepNext/>
      <w:keepLines/>
      <w:spacing w:before="120"/>
      <w:outlineLvl w:val="0"/>
    </w:pPr>
    <w:rPr>
      <w:rFonts w:eastAsiaTheme="majorEastAsia" w:cstheme="majorBidi"/>
      <w:b/>
      <w:szCs w:val="32"/>
    </w:rPr>
  </w:style>
  <w:style w:type="paragraph" w:styleId="Pealkiri2">
    <w:name w:val="heading 2"/>
    <w:basedOn w:val="Normaallaad"/>
    <w:next w:val="Normaallaad"/>
    <w:link w:val="Pealkiri2Mrk"/>
    <w:uiPriority w:val="9"/>
    <w:semiHidden/>
    <w:unhideWhenUsed/>
    <w:qFormat/>
    <w:rsid w:val="00C178EE"/>
    <w:pPr>
      <w:keepNext/>
      <w:keepLines/>
      <w:spacing w:before="120"/>
      <w:outlineLvl w:val="1"/>
    </w:pPr>
    <w:rPr>
      <w:rFonts w:eastAsiaTheme="majorEastAsia" w:cstheme="majorBidi"/>
      <w:b/>
      <w:i/>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178EE"/>
    <w:rPr>
      <w:rFonts w:ascii="Raleway" w:eastAsiaTheme="majorEastAsia" w:hAnsi="Raleway" w:cstheme="majorBidi"/>
      <w:b/>
      <w:szCs w:val="32"/>
    </w:rPr>
  </w:style>
  <w:style w:type="character" w:customStyle="1" w:styleId="Pealkiri2Mrk">
    <w:name w:val="Pealkiri 2 Märk"/>
    <w:basedOn w:val="Liguvaikefont"/>
    <w:link w:val="Pealkiri2"/>
    <w:uiPriority w:val="9"/>
    <w:semiHidden/>
    <w:rsid w:val="00C178EE"/>
    <w:rPr>
      <w:rFonts w:ascii="Raleway" w:eastAsiaTheme="majorEastAsia" w:hAnsi="Raleway" w:cstheme="majorBidi"/>
      <w:b/>
      <w:i/>
      <w:szCs w:val="26"/>
    </w:rPr>
  </w:style>
  <w:style w:type="character" w:styleId="Vaevumrgatavrhutus">
    <w:name w:val="Subtle Emphasis"/>
    <w:basedOn w:val="Liguvaikefont"/>
    <w:uiPriority w:val="19"/>
    <w:qFormat/>
    <w:rsid w:val="00C178EE"/>
    <w:rPr>
      <w:rFonts w:ascii="Raleway" w:hAnsi="Raleway"/>
      <w:i/>
      <w:iCs/>
      <w:color w:val="404040" w:themeColor="text1" w:themeTint="BF"/>
    </w:rPr>
  </w:style>
  <w:style w:type="character" w:styleId="Rhutus">
    <w:name w:val="Emphasis"/>
    <w:basedOn w:val="Liguvaikefont"/>
    <w:uiPriority w:val="20"/>
    <w:qFormat/>
    <w:rsid w:val="00C178EE"/>
    <w:rPr>
      <w:rFonts w:ascii="Raleway" w:hAnsi="Raleway"/>
      <w:i/>
      <w:iCs/>
    </w:rPr>
  </w:style>
  <w:style w:type="character" w:styleId="Selgeltmrgatavrhutus">
    <w:name w:val="Intense Emphasis"/>
    <w:basedOn w:val="Liguvaikefont"/>
    <w:uiPriority w:val="21"/>
    <w:qFormat/>
    <w:rsid w:val="00C178EE"/>
    <w:rPr>
      <w:rFonts w:ascii="Raleway" w:hAnsi="Raleway"/>
      <w:i/>
      <w:iCs/>
      <w:color w:val="4472C4" w:themeColor="accent1"/>
    </w:rPr>
  </w:style>
  <w:style w:type="character" w:styleId="Tugev">
    <w:name w:val="Strong"/>
    <w:basedOn w:val="Liguvaikefont"/>
    <w:uiPriority w:val="22"/>
    <w:qFormat/>
    <w:rsid w:val="00C178EE"/>
    <w:rPr>
      <w:rFonts w:ascii="Raleway" w:hAnsi="Raleway"/>
      <w:b/>
      <w:bCs/>
    </w:rPr>
  </w:style>
  <w:style w:type="paragraph" w:styleId="Loendilik">
    <w:name w:val="List Paragraph"/>
    <w:basedOn w:val="Normaallaad"/>
    <w:uiPriority w:val="34"/>
    <w:qFormat/>
    <w:rsid w:val="00B24711"/>
    <w:pPr>
      <w:ind w:left="720"/>
      <w:contextualSpacing/>
    </w:pPr>
  </w:style>
  <w:style w:type="paragraph" w:styleId="Pis">
    <w:name w:val="header"/>
    <w:basedOn w:val="Normaallaad"/>
    <w:link w:val="PisMrk"/>
    <w:uiPriority w:val="99"/>
    <w:unhideWhenUsed/>
    <w:rsid w:val="0039310A"/>
    <w:pPr>
      <w:tabs>
        <w:tab w:val="center" w:pos="4513"/>
        <w:tab w:val="right" w:pos="9026"/>
      </w:tabs>
      <w:spacing w:after="0" w:line="240" w:lineRule="auto"/>
    </w:pPr>
  </w:style>
  <w:style w:type="character" w:customStyle="1" w:styleId="PisMrk">
    <w:name w:val="Päis Märk"/>
    <w:basedOn w:val="Liguvaikefont"/>
    <w:link w:val="Pis"/>
    <w:uiPriority w:val="99"/>
    <w:rsid w:val="0039310A"/>
    <w:rPr>
      <w:rFonts w:ascii="Raleway" w:hAnsi="Raleway"/>
    </w:rPr>
  </w:style>
  <w:style w:type="paragraph" w:styleId="Jalus">
    <w:name w:val="footer"/>
    <w:basedOn w:val="Normaallaad"/>
    <w:link w:val="JalusMrk"/>
    <w:uiPriority w:val="99"/>
    <w:unhideWhenUsed/>
    <w:rsid w:val="0039310A"/>
    <w:pPr>
      <w:tabs>
        <w:tab w:val="center" w:pos="4513"/>
        <w:tab w:val="right" w:pos="9026"/>
      </w:tabs>
      <w:spacing w:after="0" w:line="240" w:lineRule="auto"/>
    </w:pPr>
  </w:style>
  <w:style w:type="character" w:customStyle="1" w:styleId="JalusMrk">
    <w:name w:val="Jalus Märk"/>
    <w:basedOn w:val="Liguvaikefont"/>
    <w:link w:val="Jalus"/>
    <w:uiPriority w:val="99"/>
    <w:rsid w:val="0039310A"/>
    <w:rPr>
      <w:rFonts w:ascii="Raleway" w:hAnsi="Raleway"/>
    </w:rPr>
  </w:style>
  <w:style w:type="table" w:styleId="Kontuurtabel">
    <w:name w:val="Table Grid"/>
    <w:basedOn w:val="Normaaltabel"/>
    <w:uiPriority w:val="39"/>
    <w:rsid w:val="00393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4A78E0"/>
    <w:rPr>
      <w:sz w:val="16"/>
      <w:szCs w:val="16"/>
    </w:rPr>
  </w:style>
  <w:style w:type="paragraph" w:styleId="Kommentaaritekst">
    <w:name w:val="annotation text"/>
    <w:basedOn w:val="Normaallaad"/>
    <w:link w:val="KommentaaritekstMrk"/>
    <w:uiPriority w:val="99"/>
    <w:semiHidden/>
    <w:unhideWhenUsed/>
    <w:rsid w:val="004A78E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A78E0"/>
    <w:rPr>
      <w:rFonts w:ascii="Raleway" w:hAnsi="Raleway"/>
      <w:sz w:val="20"/>
      <w:szCs w:val="20"/>
    </w:rPr>
  </w:style>
  <w:style w:type="paragraph" w:styleId="Kommentaariteema">
    <w:name w:val="annotation subject"/>
    <w:basedOn w:val="Kommentaaritekst"/>
    <w:next w:val="Kommentaaritekst"/>
    <w:link w:val="KommentaariteemaMrk"/>
    <w:uiPriority w:val="99"/>
    <w:semiHidden/>
    <w:unhideWhenUsed/>
    <w:rsid w:val="004A78E0"/>
    <w:rPr>
      <w:b/>
      <w:bCs/>
    </w:rPr>
  </w:style>
  <w:style w:type="character" w:customStyle="1" w:styleId="KommentaariteemaMrk">
    <w:name w:val="Kommentaari teema Märk"/>
    <w:basedOn w:val="KommentaaritekstMrk"/>
    <w:link w:val="Kommentaariteema"/>
    <w:uiPriority w:val="99"/>
    <w:semiHidden/>
    <w:rsid w:val="004A78E0"/>
    <w:rPr>
      <w:rFonts w:ascii="Raleway" w:hAnsi="Raleway"/>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74E24-EB15-4288-8400-E81DDDB3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1077</Words>
  <Characters>6247</Characters>
  <Application>Microsoft Office Word</Application>
  <DocSecurity>0</DocSecurity>
  <Lines>52</Lines>
  <Paragraphs>14</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Merily Rool</dc:creator>
  <cp:keywords/>
  <dc:description/>
  <cp:lastModifiedBy>Merily Rool</cp:lastModifiedBy>
  <cp:revision>5</cp:revision>
  <dcterms:created xsi:type="dcterms:W3CDTF">2024-04-16T10:10:00Z</dcterms:created>
  <dcterms:modified xsi:type="dcterms:W3CDTF">2024-05-14T10:16:00Z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-1455347514</vt:i4>
  </property>
  <property fmtid="{D5CDD505-2E9C-101B-9397-08002B2CF9AE}" pid="3" name="_NewReviewCycle">
    <vt:lpwstr/>
  </property>
  <property fmtid="{D5CDD505-2E9C-101B-9397-08002B2CF9AE}" pid="4" name="_EmailSubject">
    <vt:lpwstr>Toiduhange</vt:lpwstr>
  </property>
  <property fmtid="{D5CDD505-2E9C-101B-9397-08002B2CF9AE}" pid="5" name="_AuthorEmail">
    <vt:lpwstr>katlin.pirk@tehik.ee</vt:lpwstr>
  </property>
  <property fmtid="{D5CDD505-2E9C-101B-9397-08002B2CF9AE}" pid="6" name="_AuthorEmailDisplayName">
    <vt:lpwstr>Kätlin Pirk</vt:lpwstr>
  </property>
  <property fmtid="{D5CDD505-2E9C-101B-9397-08002B2CF9AE}" pid="7" name="_ReviewingToolsShownOnce">
    <vt:lpwstr/>
  </property>
</Properties>
</file>